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sz w:val="36"/>
          <w:szCs w:val="36"/>
        </w:rPr>
        <w:t>辽宁省财政科研基金项目成果鉴定结果</w:t>
      </w:r>
    </w:p>
    <w:tbl>
      <w:tblPr>
        <w:tblStyle w:val="4"/>
        <w:tblW w:w="13305" w:type="dxa"/>
        <w:jc w:val="center"/>
        <w:tblLayout w:type="fixed"/>
        <w:tblCellMar>
          <w:top w:w="0" w:type="dxa"/>
          <w:left w:w="108" w:type="dxa"/>
          <w:bottom w:w="0" w:type="dxa"/>
          <w:right w:w="108" w:type="dxa"/>
        </w:tblCellMar>
      </w:tblPr>
      <w:tblGrid>
        <w:gridCol w:w="936"/>
        <w:gridCol w:w="6237"/>
        <w:gridCol w:w="1236"/>
        <w:gridCol w:w="2398"/>
        <w:gridCol w:w="1148"/>
        <w:gridCol w:w="1350"/>
      </w:tblGrid>
      <w:tr>
        <w:tblPrEx>
          <w:tblCellMar>
            <w:top w:w="0" w:type="dxa"/>
            <w:left w:w="108" w:type="dxa"/>
            <w:bottom w:w="0" w:type="dxa"/>
            <w:right w:w="108" w:type="dxa"/>
          </w:tblCellMar>
        </w:tblPrEx>
        <w:trPr>
          <w:trHeight w:val="425" w:hRule="exact"/>
          <w:jc w:val="center"/>
        </w:trPr>
        <w:tc>
          <w:tcPr>
            <w:tcW w:w="93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1"/>
                <w:szCs w:val="21"/>
              </w:rPr>
            </w:pPr>
            <w:r>
              <w:rPr>
                <w:rFonts w:hint="eastAsia" w:ascii="黑体" w:hAnsi="黑体" w:eastAsia="黑体" w:cs="宋体"/>
                <w:kern w:val="0"/>
                <w:sz w:val="21"/>
                <w:szCs w:val="21"/>
              </w:rPr>
              <w:t>序号</w:t>
            </w:r>
          </w:p>
        </w:tc>
        <w:tc>
          <w:tcPr>
            <w:tcW w:w="6237"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1"/>
                <w:szCs w:val="21"/>
              </w:rPr>
            </w:pPr>
            <w:r>
              <w:rPr>
                <w:rFonts w:hint="eastAsia" w:ascii="黑体" w:hAnsi="黑体" w:eastAsia="黑体" w:cs="宋体"/>
                <w:kern w:val="0"/>
                <w:sz w:val="21"/>
                <w:szCs w:val="21"/>
              </w:rPr>
              <w:t>项目名称</w:t>
            </w:r>
          </w:p>
        </w:tc>
        <w:tc>
          <w:tcPr>
            <w:tcW w:w="123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1"/>
                <w:szCs w:val="21"/>
              </w:rPr>
            </w:pPr>
            <w:r>
              <w:rPr>
                <w:rFonts w:hint="eastAsia" w:ascii="黑体" w:hAnsi="黑体" w:eastAsia="黑体" w:cs="宋体"/>
                <w:kern w:val="0"/>
                <w:sz w:val="21"/>
                <w:szCs w:val="21"/>
              </w:rPr>
              <w:t>负责人</w:t>
            </w:r>
          </w:p>
        </w:tc>
        <w:tc>
          <w:tcPr>
            <w:tcW w:w="239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1"/>
                <w:szCs w:val="21"/>
              </w:rPr>
            </w:pPr>
            <w:r>
              <w:rPr>
                <w:rFonts w:hint="eastAsia" w:ascii="黑体" w:hAnsi="黑体" w:eastAsia="黑体" w:cs="宋体"/>
                <w:kern w:val="0"/>
                <w:sz w:val="21"/>
                <w:szCs w:val="21"/>
              </w:rPr>
              <w:t>所在单位</w:t>
            </w:r>
          </w:p>
        </w:tc>
        <w:tc>
          <w:tcPr>
            <w:tcW w:w="114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1"/>
                <w:szCs w:val="21"/>
              </w:rPr>
            </w:pPr>
            <w:r>
              <w:rPr>
                <w:rFonts w:hint="eastAsia" w:ascii="黑体" w:hAnsi="黑体" w:eastAsia="黑体" w:cs="宋体"/>
                <w:kern w:val="0"/>
                <w:sz w:val="21"/>
                <w:szCs w:val="21"/>
              </w:rPr>
              <w:t>评定等级</w:t>
            </w:r>
          </w:p>
        </w:tc>
        <w:tc>
          <w:tcPr>
            <w:tcW w:w="1350" w:type="dxa"/>
            <w:tcBorders>
              <w:top w:val="single" w:color="auto" w:sz="8" w:space="0"/>
              <w:left w:val="nil"/>
              <w:bottom w:val="single" w:color="auto" w:sz="4" w:space="0"/>
              <w:right w:val="nil"/>
            </w:tcBorders>
            <w:shd w:val="clear" w:color="auto" w:fill="auto"/>
            <w:vAlign w:val="center"/>
          </w:tcPr>
          <w:p>
            <w:pPr>
              <w:widowControl/>
              <w:jc w:val="center"/>
              <w:rPr>
                <w:rFonts w:ascii="黑体" w:hAnsi="黑体" w:eastAsia="黑体" w:cs="宋体"/>
                <w:kern w:val="0"/>
                <w:sz w:val="21"/>
                <w:szCs w:val="21"/>
              </w:rPr>
            </w:pPr>
            <w:r>
              <w:rPr>
                <w:rFonts w:hint="eastAsia" w:ascii="黑体" w:hAnsi="黑体" w:eastAsia="黑体" w:cs="宋体"/>
                <w:kern w:val="0"/>
                <w:sz w:val="21"/>
                <w:szCs w:val="21"/>
              </w:rPr>
              <w:t>评定结果</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完善辽宁省以下财政体制研究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许宏伟</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东北财经大学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完善辽宁省以下财政体制研究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司亚伟</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辽宁大学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3</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发挥财政资金对优化经济结构的撬动作用问题研究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杨  达</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辽宁大学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4</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新发展阶段支持辽宁县域经济高质量发展的财政政策研究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高凌云</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沈阳农业大学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5</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辽宁地方债务促发展和防风险的平衡关系研究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赵桂芝</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辽宁大学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6</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辽宁地方债务促发展和防风险的平衡关系研究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郭  凯</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东北财经大学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7</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支持数字辽宁智造强省建设的财政政策研究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宋帅官</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辽宁社会科学院</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590"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8</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辽宁财政支出标准体系建设问题研究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纪  伟</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辽宁省市县财政专员办服务中心</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9</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发挥辽宁政府投资基金作用问题研究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李维峰</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辽宁大学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613"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10</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深化政府采购制度改革背景下辽宁政府采购代理机构专业化发展问题研究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于静淼</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沈阳大学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11</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应对辽宁人口老龄化的财政政策研究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赵建国</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东北财经大学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优秀</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12</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支持辽宁战略性新兴产业发展的财政政策研究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孟继民</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东北大学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13</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支持辽宁海洋经济加快发展的财政政策研究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鲁  渤</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大连理工大学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及格</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14</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支持辽宁城市更新行动的财政政策研究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项英辉</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沈阳建筑大学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15</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支持辽宁科技型企业梯度培育的财政政策研究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潘雄锋</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大连理工大学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16</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新形势下支持辽宁人才引育用留的财政政策研究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曹依霏</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沈阳工程学院</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r>
        <w:tblPrEx>
          <w:tblCellMar>
            <w:top w:w="0" w:type="dxa"/>
            <w:left w:w="108" w:type="dxa"/>
            <w:bottom w:w="0" w:type="dxa"/>
            <w:right w:w="108" w:type="dxa"/>
          </w:tblCellMar>
        </w:tblPrEx>
        <w:trPr>
          <w:trHeight w:val="425" w:hRule="exact"/>
          <w:jc w:val="center"/>
        </w:trPr>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17</w:t>
            </w:r>
          </w:p>
        </w:tc>
        <w:tc>
          <w:tcPr>
            <w:tcW w:w="62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推动“碳达峰”“碳中和”实现辽宁绿色经济发展的财政政策研究</w:t>
            </w:r>
          </w:p>
        </w:tc>
        <w:tc>
          <w:tcPr>
            <w:tcW w:w="12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李少林</w:t>
            </w:r>
          </w:p>
        </w:tc>
        <w:tc>
          <w:tcPr>
            <w:tcW w:w="2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东北财经大学</w:t>
            </w:r>
          </w:p>
        </w:tc>
        <w:tc>
          <w:tcPr>
            <w:tcW w:w="11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良好</w:t>
            </w:r>
          </w:p>
        </w:tc>
        <w:tc>
          <w:tcPr>
            <w:tcW w:w="1350" w:type="dxa"/>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通过</w:t>
            </w:r>
          </w:p>
        </w:tc>
      </w:tr>
    </w:tbl>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36DB9"/>
    <w:rsid w:val="00040A32"/>
    <w:rsid w:val="00085391"/>
    <w:rsid w:val="00202C2F"/>
    <w:rsid w:val="00283E7B"/>
    <w:rsid w:val="002E6C24"/>
    <w:rsid w:val="00397357"/>
    <w:rsid w:val="005369D6"/>
    <w:rsid w:val="00636DB9"/>
    <w:rsid w:val="0064048B"/>
    <w:rsid w:val="006664DC"/>
    <w:rsid w:val="00844FEE"/>
    <w:rsid w:val="008508C2"/>
    <w:rsid w:val="009578E1"/>
    <w:rsid w:val="00975A11"/>
    <w:rsid w:val="009802C4"/>
    <w:rsid w:val="009C1D50"/>
    <w:rsid w:val="00C60BA8"/>
    <w:rsid w:val="00DB7DD6"/>
    <w:rsid w:val="00E14218"/>
    <w:rsid w:val="00F32796"/>
    <w:rsid w:val="775F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980</Characters>
  <Lines>8</Lines>
  <Paragraphs>2</Paragraphs>
  <TotalTime>1</TotalTime>
  <ScaleCrop>false</ScaleCrop>
  <LinksUpToDate>false</LinksUpToDate>
  <CharactersWithSpaces>1149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2021-01-14T06:31:00Z</dcterms:created>
  <dc:creator>think</dc:creator>
  <cp:lastModifiedBy>kmf</cp:lastModifiedBy>
  <dcterms:modified xsi:type="dcterms:W3CDTF">2021-12-28T06:22:43Z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6661182928D34144B488912139906F6D</vt:lpwstr>
  </property>
</Properties>
</file>